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08" w:lineRule="auto"/>
      </w:pPr>
      <w:r>
        <w:rPr/>
        <w:pict>
          <v:group style="position:absolute;margin-left:.0pt;margin-top:103.323997pt;width:725.7pt;height:419pt;mso-position-horizontal-relative:page;mso-position-vertical-relative:page;z-index:-15807488" id="docshapegroup2" coordorigin="0,2066" coordsize="14514,8380">
            <v:rect style="position:absolute;left:0;top:2066;width:14514;height:8380" id="docshape3" filled="true" fillcolor="#0aaea7" stroked="false">
              <v:fill type="solid"/>
            </v:rect>
            <v:rect style="position:absolute;left:3483;top:10070;width:2514;height:40" id="docshape4" filled="true" fillcolor="#d5e9e8" stroked="false">
              <v:fill type="solid"/>
            </v:rect>
            <v:line style="position:absolute" from="907,10111" to="3484,10111" stroked="true" strokeweight="4pt" strokecolor="#ffffff">
              <v:stroke dashstyle="solid"/>
            </v:line>
            <v:rect style="position:absolute;left:3483;top:10070;width:2514;height:80" id="docshape5" filled="true" fillcolor="#ffffff" stroked="false">
              <v:fill type="solid"/>
            </v:rect>
            <v:line style="position:absolute" from="5997,10111" to="8501,10111" stroked="true" strokeweight="4pt" strokecolor="#ffffff">
              <v:stroke dashstyle="solid"/>
            </v:line>
            <v:line style="position:absolute" from="8501,10111" to="10939,10111" stroked="true" strokeweight="4pt" strokecolor="#ffffff">
              <v:stroke dashstyle="solid"/>
            </v:line>
            <v:line style="position:absolute" from="10939,10111" to="13537,10111" stroked="true" strokeweight="4pt" strokecolor="#ffffff">
              <v:stroke dashstyle="solid"/>
            </v:line>
            <w10:wrap type="none"/>
          </v:group>
        </w:pict>
      </w:r>
      <w:r>
        <w:rPr>
          <w:color w:val="231F20"/>
          <w:sz w:val="48"/>
        </w:rPr>
        <w:t>2.4</w:t>
      </w:r>
      <w:r>
        <w:rPr>
          <w:color w:val="231F20"/>
        </w:rPr>
        <w:t>C: Proforma for reviewing curriculum organisation </w:t>
      </w:r>
      <w:r>
        <w:rPr>
          <w:color w:val="231F20"/>
        </w:rPr>
        <w:t>for</w:t>
      </w:r>
      <w:r>
        <w:rPr>
          <w:color w:val="231F20"/>
        </w:rPr>
        <w:t> </w:t>
      </w:r>
      <w:r>
        <w:rPr>
          <w:color w:val="231F20"/>
          <w:w w:val="105"/>
        </w:rPr>
        <w:t>careers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education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related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areas</w:t>
      </w: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6"/>
        <w:rPr>
          <w:rFonts w:ascii="Palatino Linotype"/>
          <w:sz w:val="25"/>
        </w:rPr>
      </w:pPr>
    </w:p>
    <w:tbl>
      <w:tblPr>
        <w:tblW w:w="0" w:type="auto"/>
        <w:jc w:val="left"/>
        <w:tblInd w:w="197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7"/>
        <w:gridCol w:w="2514"/>
        <w:gridCol w:w="2505"/>
        <w:gridCol w:w="2439"/>
        <w:gridCol w:w="2560"/>
      </w:tblGrid>
      <w:tr>
        <w:trPr>
          <w:trHeight w:val="1100" w:hRule="atLeast"/>
        </w:trPr>
        <w:tc>
          <w:tcPr>
            <w:tcW w:w="2537" w:type="dxa"/>
            <w:shd w:val="clear" w:color="auto" w:fill="D5E9E8"/>
          </w:tcPr>
          <w:p>
            <w:pPr>
              <w:pStyle w:val="TableParagraph"/>
              <w:spacing w:before="7"/>
              <w:rPr>
                <w:rFonts w:ascii="Palatino Linotype"/>
                <w:sz w:val="33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Key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stage</w:t>
            </w:r>
            <w:r>
              <w:rPr>
                <w:color w:val="231F20"/>
                <w:spacing w:val="2"/>
                <w:sz w:val="18"/>
              </w:rPr>
              <w:t> </w:t>
            </w:r>
            <w:r>
              <w:rPr>
                <w:color w:val="231F20"/>
                <w:spacing w:val="-5"/>
                <w:w w:val="95"/>
                <w:sz w:val="18"/>
              </w:rPr>
              <w:t>3/4</w:t>
            </w:r>
          </w:p>
        </w:tc>
        <w:tc>
          <w:tcPr>
            <w:tcW w:w="2514" w:type="dxa"/>
            <w:shd w:val="clear" w:color="auto" w:fill="D5E9E8"/>
          </w:tcPr>
          <w:p>
            <w:pPr>
              <w:pStyle w:val="TableParagraph"/>
              <w:spacing w:before="7"/>
              <w:rPr>
                <w:rFonts w:ascii="Palatino Linotype"/>
                <w:sz w:val="25"/>
              </w:rPr>
            </w:pPr>
          </w:p>
          <w:p>
            <w:pPr>
              <w:pStyle w:val="TableParagraph"/>
              <w:spacing w:line="249" w:lineRule="auto"/>
              <w:ind w:left="224" w:right="139"/>
              <w:rPr>
                <w:sz w:val="18"/>
              </w:rPr>
            </w:pPr>
            <w:r>
              <w:rPr>
                <w:color w:val="231F20"/>
                <w:sz w:val="18"/>
              </w:rPr>
              <w:t>Careers, employability and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enterprise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education</w:t>
            </w:r>
          </w:p>
        </w:tc>
        <w:tc>
          <w:tcPr>
            <w:tcW w:w="2505" w:type="dxa"/>
            <w:shd w:val="clear" w:color="auto" w:fill="D5E9E8"/>
          </w:tcPr>
          <w:p>
            <w:pPr>
              <w:pStyle w:val="TableParagraph"/>
              <w:spacing w:before="7"/>
              <w:rPr>
                <w:rFonts w:ascii="Palatino Linotype"/>
                <w:sz w:val="25"/>
              </w:rPr>
            </w:pPr>
          </w:p>
          <w:p>
            <w:pPr>
              <w:pStyle w:val="TableParagraph"/>
              <w:spacing w:line="249" w:lineRule="auto"/>
              <w:ind w:left="224" w:right="176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Personal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finance </w:t>
            </w:r>
            <w:r>
              <w:rPr>
                <w:color w:val="231F20"/>
                <w:spacing w:val="-2"/>
                <w:sz w:val="18"/>
              </w:rPr>
              <w:t>education</w:t>
            </w:r>
          </w:p>
        </w:tc>
        <w:tc>
          <w:tcPr>
            <w:tcW w:w="2439" w:type="dxa"/>
            <w:shd w:val="clear" w:color="auto" w:fill="D5E9E8"/>
          </w:tcPr>
          <w:p>
            <w:pPr>
              <w:pStyle w:val="TableParagraph"/>
              <w:spacing w:before="7"/>
              <w:rPr>
                <w:rFonts w:ascii="Palatino Linotype"/>
                <w:sz w:val="25"/>
              </w:rPr>
            </w:pPr>
          </w:p>
          <w:p>
            <w:pPr>
              <w:pStyle w:val="TableParagraph"/>
              <w:spacing w:line="249" w:lineRule="auto"/>
              <w:ind w:left="223" w:right="81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‘PSHE’</w:t>
            </w:r>
            <w:r>
              <w:rPr>
                <w:color w:val="231F20"/>
                <w:spacing w:val="-12"/>
                <w:w w:val="95"/>
                <w:sz w:val="18"/>
              </w:rPr>
              <w:t> </w:t>
            </w:r>
            <w:r>
              <w:rPr>
                <w:color w:val="231F20"/>
                <w:w w:val="95"/>
                <w:sz w:val="18"/>
              </w:rPr>
              <w:t>(personal </w:t>
            </w:r>
            <w:r>
              <w:rPr>
                <w:color w:val="231F20"/>
                <w:spacing w:val="-2"/>
                <w:sz w:val="18"/>
              </w:rPr>
              <w:t>wellbeing)</w:t>
            </w:r>
          </w:p>
        </w:tc>
        <w:tc>
          <w:tcPr>
            <w:tcW w:w="2560" w:type="dxa"/>
            <w:shd w:val="clear" w:color="auto" w:fill="D5E9E8"/>
          </w:tcPr>
          <w:p>
            <w:pPr>
              <w:pStyle w:val="TableParagraph"/>
              <w:spacing w:before="7"/>
              <w:rPr>
                <w:rFonts w:ascii="Palatino Linotype"/>
                <w:sz w:val="33"/>
              </w:rPr>
            </w:pPr>
          </w:p>
          <w:p>
            <w:pPr>
              <w:pStyle w:val="TableParagraph"/>
              <w:ind w:left="221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Citizenship</w:t>
            </w:r>
          </w:p>
        </w:tc>
      </w:tr>
      <w:tr>
        <w:trPr>
          <w:trHeight w:val="1551" w:hRule="atLeast"/>
        </w:trPr>
        <w:tc>
          <w:tcPr>
            <w:tcW w:w="2537" w:type="dxa"/>
            <w:shd w:val="clear" w:color="auto" w:fill="AFD8D5"/>
          </w:tcPr>
          <w:p>
            <w:pPr>
              <w:pStyle w:val="TableParagraph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Palatino Linotype"/>
                <w:sz w:val="26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Curriculum</w:t>
            </w:r>
            <w:r>
              <w:rPr>
                <w:color w:val="231F20"/>
                <w:spacing w:val="22"/>
                <w:sz w:val="18"/>
              </w:rPr>
              <w:t> </w:t>
            </w:r>
            <w:r>
              <w:rPr>
                <w:color w:val="231F20"/>
                <w:spacing w:val="-2"/>
                <w:w w:val="95"/>
                <w:sz w:val="18"/>
              </w:rPr>
              <w:t>location</w:t>
            </w:r>
          </w:p>
        </w:tc>
        <w:tc>
          <w:tcPr>
            <w:tcW w:w="2514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72" w:hRule="atLeast"/>
        </w:trPr>
        <w:tc>
          <w:tcPr>
            <w:tcW w:w="2537" w:type="dxa"/>
            <w:shd w:val="clear" w:color="auto" w:fill="D5E9E8"/>
          </w:tcPr>
          <w:p>
            <w:pPr>
              <w:pStyle w:val="TableParagraph"/>
              <w:spacing w:before="7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sz w:val="18"/>
              </w:rPr>
              <w:t>Hours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per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pacing w:val="-4"/>
                <w:sz w:val="18"/>
              </w:rPr>
              <w:t>year</w:t>
            </w:r>
          </w:p>
          <w:p>
            <w:pPr>
              <w:pStyle w:val="TableParagraph"/>
              <w:spacing w:before="151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36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Y10</w:t>
            </w:r>
          </w:p>
          <w:p>
            <w:pPr>
              <w:pStyle w:val="TableParagraph"/>
              <w:spacing w:before="150"/>
              <w:ind w:left="364"/>
              <w:rPr>
                <w:sz w:val="18"/>
              </w:rPr>
            </w:pP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36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Y11</w:t>
            </w:r>
          </w:p>
        </w:tc>
        <w:tc>
          <w:tcPr>
            <w:tcW w:w="2514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4" w:hRule="atLeast"/>
        </w:trPr>
        <w:tc>
          <w:tcPr>
            <w:tcW w:w="2537" w:type="dxa"/>
            <w:shd w:val="clear" w:color="auto" w:fill="AFD8D5"/>
          </w:tcPr>
          <w:p>
            <w:pPr>
              <w:pStyle w:val="TableParagraph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Teaching</w:t>
            </w:r>
            <w:r>
              <w:rPr>
                <w:color w:val="231F20"/>
                <w:spacing w:val="-2"/>
                <w:sz w:val="18"/>
              </w:rPr>
              <w:t> staff</w:t>
            </w:r>
          </w:p>
        </w:tc>
        <w:tc>
          <w:tcPr>
            <w:tcW w:w="2514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shd w:val="clear" w:color="auto" w:fill="AFD8D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9" w:hRule="atLeast"/>
        </w:trPr>
        <w:tc>
          <w:tcPr>
            <w:tcW w:w="2537" w:type="dxa"/>
            <w:tcBorders>
              <w:bottom w:val="nil"/>
            </w:tcBorders>
            <w:shd w:val="clear" w:color="auto" w:fill="D5E9E8"/>
          </w:tcPr>
          <w:p>
            <w:pPr>
              <w:pStyle w:val="TableParagraph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Palatino Linotype"/>
                <w:sz w:val="24"/>
              </w:rPr>
            </w:pPr>
          </w:p>
          <w:p>
            <w:pPr>
              <w:pStyle w:val="TableParagraph"/>
              <w:ind w:left="225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Curriculum</w:t>
            </w:r>
            <w:r>
              <w:rPr>
                <w:color w:val="231F20"/>
                <w:spacing w:val="22"/>
                <w:sz w:val="18"/>
              </w:rPr>
              <w:t> </w:t>
            </w:r>
            <w:r>
              <w:rPr>
                <w:color w:val="231F20"/>
                <w:spacing w:val="-4"/>
                <w:w w:val="95"/>
                <w:sz w:val="18"/>
              </w:rPr>
              <w:t>lead</w:t>
            </w:r>
          </w:p>
        </w:tc>
        <w:tc>
          <w:tcPr>
            <w:tcW w:w="2514" w:type="dxa"/>
            <w:tcBorders>
              <w:bottom w:val="nil"/>
            </w:tcBorders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5" w:type="dxa"/>
            <w:tcBorders>
              <w:bottom w:val="nil"/>
            </w:tcBorders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60" w:type="dxa"/>
            <w:tcBorders>
              <w:bottom w:val="nil"/>
            </w:tcBorders>
            <w:shd w:val="clear" w:color="auto" w:fill="D5E9E8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4520" w:h="11290" w:orient="landscape"/>
          <w:pgMar w:footer="581" w:header="0" w:top="560" w:bottom="780" w:left="800" w:right="860"/>
          <w:pgNumType w:start="1"/>
        </w:sectPr>
      </w:pPr>
    </w:p>
    <w:p>
      <w:pPr>
        <w:pStyle w:val="BodyText"/>
        <w:spacing w:before="108"/>
        <w:ind w:left="203"/>
      </w:pPr>
      <w:r>
        <w:rPr>
          <w:color w:val="231F20"/>
        </w:rPr>
        <w:t>Current</w:t>
      </w:r>
      <w:r>
        <w:rPr>
          <w:color w:val="231F20"/>
          <w:spacing w:val="-7"/>
        </w:rPr>
        <w:t> </w:t>
      </w:r>
      <w:r>
        <w:rPr>
          <w:color w:val="231F20"/>
        </w:rPr>
        <w:t>extent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collaboration</w:t>
      </w:r>
      <w:r>
        <w:rPr>
          <w:color w:val="231F20"/>
          <w:spacing w:val="-7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related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areas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03"/>
      </w:pPr>
      <w:r>
        <w:rPr>
          <w:color w:val="231F20"/>
        </w:rPr>
        <w:t>Potential</w:t>
      </w:r>
      <w:r>
        <w:rPr>
          <w:color w:val="231F20"/>
          <w:spacing w:val="-11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</w:rPr>
        <w:t>further</w:t>
      </w:r>
      <w:r>
        <w:rPr>
          <w:color w:val="231F20"/>
          <w:spacing w:val="-11"/>
        </w:rPr>
        <w:t> </w:t>
      </w:r>
      <w:r>
        <w:rPr>
          <w:color w:val="231F20"/>
        </w:rPr>
        <w:t>collaboration</w:t>
      </w:r>
      <w:r>
        <w:rPr>
          <w:color w:val="231F20"/>
          <w:spacing w:val="-11"/>
        </w:rPr>
        <w:t> </w:t>
      </w:r>
      <w:r>
        <w:rPr>
          <w:color w:val="231F20"/>
        </w:rPr>
        <w:t>(opportunities</w:t>
      </w:r>
      <w:r>
        <w:rPr>
          <w:color w:val="231F20"/>
          <w:spacing w:val="-11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challenges)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03"/>
      </w:pPr>
      <w:r>
        <w:rPr>
          <w:color w:val="231F20"/>
        </w:rPr>
        <w:t>Beyond</w:t>
      </w:r>
      <w:r>
        <w:rPr>
          <w:color w:val="231F20"/>
          <w:spacing w:val="-15"/>
        </w:rPr>
        <w:t> </w:t>
      </w:r>
      <w:r>
        <w:rPr>
          <w:color w:val="231F20"/>
        </w:rPr>
        <w:t>the</w:t>
      </w:r>
      <w:r>
        <w:rPr>
          <w:color w:val="231F20"/>
          <w:spacing w:val="-14"/>
        </w:rPr>
        <w:t> </w:t>
      </w:r>
      <w:r>
        <w:rPr>
          <w:color w:val="231F20"/>
        </w:rPr>
        <w:t>individual</w:t>
      </w:r>
      <w:r>
        <w:rPr>
          <w:color w:val="231F20"/>
          <w:spacing w:val="-14"/>
        </w:rPr>
        <w:t> </w:t>
      </w:r>
      <w:r>
        <w:rPr>
          <w:color w:val="231F20"/>
        </w:rPr>
        <w:t>leaders</w:t>
      </w:r>
      <w:r>
        <w:rPr>
          <w:color w:val="231F20"/>
          <w:spacing w:val="-14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careers</w:t>
      </w:r>
      <w:r>
        <w:rPr>
          <w:color w:val="231F20"/>
          <w:spacing w:val="-14"/>
        </w:rPr>
        <w:t> </w:t>
      </w:r>
      <w:r>
        <w:rPr>
          <w:color w:val="231F20"/>
        </w:rPr>
        <w:t>education,</w:t>
      </w:r>
      <w:r>
        <w:rPr>
          <w:color w:val="231F20"/>
          <w:spacing w:val="-14"/>
        </w:rPr>
        <w:t> </w:t>
      </w:r>
      <w:r>
        <w:rPr>
          <w:color w:val="231F20"/>
        </w:rPr>
        <w:t>finance</w:t>
      </w:r>
      <w:r>
        <w:rPr>
          <w:color w:val="231F20"/>
          <w:spacing w:val="-14"/>
        </w:rPr>
        <w:t> </w:t>
      </w:r>
      <w:r>
        <w:rPr>
          <w:color w:val="231F20"/>
        </w:rPr>
        <w:t>education,</w:t>
      </w:r>
      <w:r>
        <w:rPr>
          <w:color w:val="231F20"/>
          <w:spacing w:val="-14"/>
        </w:rPr>
        <w:t> </w:t>
      </w:r>
      <w:r>
        <w:rPr>
          <w:color w:val="231F20"/>
        </w:rPr>
        <w:t>PSHE</w:t>
      </w:r>
      <w:r>
        <w:rPr>
          <w:color w:val="231F20"/>
          <w:spacing w:val="-14"/>
        </w:rPr>
        <w:t> </w:t>
      </w:r>
      <w:r>
        <w:rPr>
          <w:color w:val="231F20"/>
        </w:rPr>
        <w:t>and</w:t>
      </w:r>
      <w:r>
        <w:rPr>
          <w:color w:val="231F20"/>
          <w:spacing w:val="-15"/>
        </w:rPr>
        <w:t> </w:t>
      </w:r>
      <w:r>
        <w:rPr>
          <w:color w:val="231F20"/>
        </w:rPr>
        <w:t>citizenship,</w:t>
      </w:r>
      <w:r>
        <w:rPr>
          <w:color w:val="231F20"/>
          <w:spacing w:val="-14"/>
        </w:rPr>
        <w:t> </w:t>
      </w:r>
      <w:r>
        <w:rPr>
          <w:color w:val="231F20"/>
        </w:rPr>
        <w:t>who</w:t>
      </w:r>
      <w:r>
        <w:rPr>
          <w:color w:val="231F20"/>
          <w:spacing w:val="-14"/>
        </w:rPr>
        <w:t> </w:t>
      </w:r>
      <w:r>
        <w:rPr>
          <w:color w:val="231F20"/>
        </w:rPr>
        <w:t>has</w:t>
      </w:r>
      <w:r>
        <w:rPr>
          <w:color w:val="231F20"/>
          <w:spacing w:val="-14"/>
        </w:rPr>
        <w:t> </w:t>
      </w:r>
      <w:r>
        <w:rPr>
          <w:color w:val="231F20"/>
        </w:rPr>
        <w:t>oversight</w:t>
      </w:r>
      <w:r>
        <w:rPr>
          <w:color w:val="231F20"/>
          <w:spacing w:val="-14"/>
        </w:rPr>
        <w:t> </w:t>
      </w:r>
      <w:r>
        <w:rPr>
          <w:color w:val="231F20"/>
        </w:rPr>
        <w:t>of</w:t>
      </w:r>
      <w:r>
        <w:rPr>
          <w:color w:val="231F20"/>
          <w:spacing w:val="-14"/>
        </w:rPr>
        <w:t> </w:t>
      </w:r>
      <w:r>
        <w:rPr>
          <w:color w:val="231F20"/>
        </w:rPr>
        <w:t>all</w:t>
      </w:r>
      <w:r>
        <w:rPr>
          <w:color w:val="231F20"/>
          <w:spacing w:val="-14"/>
        </w:rPr>
        <w:t> </w:t>
      </w:r>
      <w:r>
        <w:rPr>
          <w:color w:val="231F20"/>
        </w:rPr>
        <w:t>four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areas?</w:t>
      </w:r>
    </w:p>
    <w:sectPr>
      <w:pgSz w:w="14520" w:h="11290" w:orient="landscape"/>
      <w:pgMar w:header="0" w:footer="581" w:top="960" w:bottom="780" w:left="8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0.237pt;margin-top:524.055725pt;width:264.95pt;height:14.25pt;mso-position-horizontal-relative:page;mso-position-vertical-relative:page;z-index:-15807488" type="#_x0000_t202" id="docshape1" filled="false" stroked="false">
          <v:textbox inset="0,0,0,0">
            <w:txbxContent>
              <w:p>
                <w:pPr>
                  <w:spacing w:before="48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color w:val="231F20"/>
                    <w:w w:val="95"/>
                    <w:sz w:val="17"/>
                  </w:rPr>
                  <w:t>©</w:t>
                </w:r>
                <w:r>
                  <w:rPr>
                    <w:color w:val="231F20"/>
                    <w:spacing w:val="-4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Crimson</w:t>
                </w:r>
                <w:r>
                  <w:rPr>
                    <w:color w:val="231F20"/>
                    <w:spacing w:val="-3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Publishing</w:t>
                </w:r>
                <w:r>
                  <w:rPr>
                    <w:color w:val="231F20"/>
                    <w:spacing w:val="-3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Ltd</w:t>
                </w:r>
                <w:r>
                  <w:rPr>
                    <w:color w:val="231F20"/>
                    <w:spacing w:val="-4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2022.</w:t>
                </w:r>
                <w:r>
                  <w:rPr>
                    <w:color w:val="231F20"/>
                    <w:spacing w:val="-3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Tools</w:t>
                </w:r>
                <w:r>
                  <w:rPr>
                    <w:color w:val="231F20"/>
                    <w:spacing w:val="-3"/>
                    <w:w w:val="95"/>
                    <w:sz w:val="17"/>
                  </w:rPr>
                  <w:t> </w:t>
                </w:r>
                <w:r>
                  <w:rPr>
                    <w:color w:val="231F20"/>
                    <w:w w:val="95"/>
                    <w:sz w:val="17"/>
                  </w:rPr>
                  <w:t>for</w:t>
                </w:r>
                <w:r>
                  <w:rPr>
                    <w:color w:val="231F20"/>
                    <w:spacing w:val="-3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The</w:t>
                </w:r>
                <w:r>
                  <w:rPr>
                    <w:rFonts w:ascii="Trebuchet MS" w:hAnsi="Trebuchet MS"/>
                    <w:i/>
                    <w:color w:val="231F20"/>
                    <w:spacing w:val="-8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Careers</w:t>
                </w:r>
                <w:r>
                  <w:rPr>
                    <w:rFonts w:ascii="Trebuchet MS" w:hAnsi="Trebuchet MS"/>
                    <w:i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w w:val="95"/>
                    <w:sz w:val="17"/>
                  </w:rPr>
                  <w:t>Leader</w:t>
                </w:r>
                <w:r>
                  <w:rPr>
                    <w:rFonts w:ascii="Trebuchet MS" w:hAnsi="Trebuchet MS"/>
                    <w:i/>
                    <w:color w:val="231F20"/>
                    <w:spacing w:val="-7"/>
                    <w:w w:val="95"/>
                    <w:sz w:val="17"/>
                  </w:rPr>
                  <w:t> </w:t>
                </w:r>
                <w:r>
                  <w:rPr>
                    <w:rFonts w:ascii="Trebuchet MS" w:hAnsi="Trebuchet MS"/>
                    <w:i/>
                    <w:color w:val="231F20"/>
                    <w:spacing w:val="-2"/>
                    <w:w w:val="95"/>
                    <w:sz w:val="17"/>
                  </w:rPr>
                  <w:t>Handbook</w:t>
                </w:r>
                <w:r>
                  <w:rPr>
                    <w:color w:val="231F20"/>
                    <w:spacing w:val="-2"/>
                    <w:w w:val="95"/>
                    <w:sz w:val="17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2"/>
      <w:ind w:left="1379" w:hanging="1131"/>
    </w:pPr>
    <w:rPr>
      <w:rFonts w:ascii="Palatino Linotype" w:hAnsi="Palatino Linotype" w:eastAsia="Palatino Linotype" w:cs="Palatino Linotype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CLH_tools_2022.indd</dc:title>
  <dcterms:created xsi:type="dcterms:W3CDTF">2022-11-14T15:01:45Z</dcterms:created>
  <dcterms:modified xsi:type="dcterms:W3CDTF">2022-11-14T15:01:45Z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PDF Library 16.0</vt:lpwstr>
  </property>
</Properties>
</file>